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Приказ Минэнерго России от 09.12.2022 N 1299</w:t>
              <w:br/>
              <w:t xml:space="preserve">(ред. от 13.05.2024)</w:t>
              <w:br/>
              <w:t xml:space="preserve">"Об утверждении Порядка согласования передачи субъектами топливно-энергетического комплекса, владеющими на праве собственности или ином законном основании объектами топливно-энергетического комплекса, которым присвоена высокая категория опасности, в аренду или иное пользование зданий, строений, сооружений, их частей, входящих в состав таких объектов топливно-энергетического комплекса, а также земельных участков, на которых размещены указанные объекты топливно-энергетического комплекса, для целей, не связанных с производственной деятельностью"</w:t>
              <w:br/>
              <w:t xml:space="preserve">(Зарегистрировано в Минюсте России 15.12.2022 N 71556)</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02.03.2026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0"/>
        <w:outlineLvl w:val="0"/>
      </w:pPr>
      <w:r>
        <w:rPr>
          <w:sz w:val="24"/>
        </w:rPr>
        <w:t xml:space="preserve">Зарегистрировано в Минюсте России 15 декабря 2022 г. N 71556</w:t>
      </w:r>
    </w:p>
    <w:p>
      <w:pPr>
        <w:pStyle w:val="0"/>
        <w:jc w:val="both"/>
        <w:pBdr>
          <w:bottom w:val="single" w:sz="6" w:space="0" w:color="auto"/>
        </w:pBdr>
        <w:spacing w:before="100" w:after="100"/>
        <w:rPr>
          <w:sz w:val="2"/>
          <w:szCs w:val="2"/>
        </w:rPr>
      </w:pPr>
    </w:p>
    <w:p>
      <w:pPr>
        <w:pStyle w:val="0"/>
        <w:ind w:firstLine="540"/>
        <w:jc w:val="both"/>
      </w:pPr>
      <w:r>
        <w:rPr>
          <w:sz w:val="24"/>
        </w:rPr>
      </w:r>
    </w:p>
    <w:p>
      <w:pPr>
        <w:pStyle w:val="2"/>
        <w:jc w:val="center"/>
      </w:pPr>
      <w:r>
        <w:rPr>
          <w:sz w:val="24"/>
        </w:rPr>
        <w:t xml:space="preserve">МИНИСТЕРСТВО ЭНЕРГЕТИКИ РОССИЙСКОЙ ФЕДЕРАЦИИ</w:t>
      </w:r>
    </w:p>
    <w:p>
      <w:pPr>
        <w:pStyle w:val="2"/>
        <w:jc w:val="center"/>
      </w:pPr>
      <w:r>
        <w:rPr>
          <w:sz w:val="24"/>
        </w:rPr>
      </w:r>
    </w:p>
    <w:p>
      <w:pPr>
        <w:pStyle w:val="2"/>
        <w:jc w:val="center"/>
      </w:pPr>
      <w:r>
        <w:rPr>
          <w:sz w:val="24"/>
        </w:rPr>
        <w:t xml:space="preserve">ПРИКАЗ</w:t>
      </w:r>
    </w:p>
    <w:p>
      <w:pPr>
        <w:pStyle w:val="2"/>
        <w:jc w:val="center"/>
      </w:pPr>
      <w:r>
        <w:rPr>
          <w:sz w:val="24"/>
        </w:rPr>
        <w:t xml:space="preserve">от 9 декабря 2022 г. N 1299</w:t>
      </w:r>
    </w:p>
    <w:p>
      <w:pPr>
        <w:pStyle w:val="2"/>
        <w:jc w:val="center"/>
      </w:pPr>
      <w:r>
        <w:rPr>
          <w:sz w:val="24"/>
        </w:rPr>
      </w:r>
    </w:p>
    <w:p>
      <w:pPr>
        <w:pStyle w:val="2"/>
        <w:jc w:val="center"/>
      </w:pPr>
      <w:r>
        <w:rPr>
          <w:sz w:val="24"/>
        </w:rPr>
        <w:t xml:space="preserve">ОБ УТВЕРЖДЕНИИ ПОРЯДКА</w:t>
      </w:r>
    </w:p>
    <w:p>
      <w:pPr>
        <w:pStyle w:val="2"/>
        <w:jc w:val="center"/>
      </w:pPr>
      <w:r>
        <w:rPr>
          <w:sz w:val="24"/>
        </w:rPr>
        <w:t xml:space="preserve">СОГЛАСОВАНИЯ ПЕРЕДАЧИ СУБЪЕКТАМИ ТОПЛИВНО-ЭНЕРГЕТИЧЕСКОГО</w:t>
      </w:r>
    </w:p>
    <w:p>
      <w:pPr>
        <w:pStyle w:val="2"/>
        <w:jc w:val="center"/>
      </w:pPr>
      <w:r>
        <w:rPr>
          <w:sz w:val="24"/>
        </w:rPr>
        <w:t xml:space="preserve">КОМПЛЕКСА, ВЛАДЕЮЩИМИ НА ПРАВЕ СОБСТВЕННОСТИ ИЛИ ИНОМ</w:t>
      </w:r>
    </w:p>
    <w:p>
      <w:pPr>
        <w:pStyle w:val="2"/>
        <w:jc w:val="center"/>
      </w:pPr>
      <w:r>
        <w:rPr>
          <w:sz w:val="24"/>
        </w:rPr>
        <w:t xml:space="preserve">ЗАКОННОМ ОСНОВАНИИ ОБЪЕКТАМИ ТОПЛИВНО-ЭНЕРГЕТИЧЕСКОГО</w:t>
      </w:r>
    </w:p>
    <w:p>
      <w:pPr>
        <w:pStyle w:val="2"/>
        <w:jc w:val="center"/>
      </w:pPr>
      <w:r>
        <w:rPr>
          <w:sz w:val="24"/>
        </w:rPr>
        <w:t xml:space="preserve">КОМПЛЕКСА, КОТОРЫМ ПРИСВОЕНА ВЫСОКАЯ КАТЕГОРИЯ ОПАСНОСТИ,</w:t>
      </w:r>
    </w:p>
    <w:p>
      <w:pPr>
        <w:pStyle w:val="2"/>
        <w:jc w:val="center"/>
      </w:pPr>
      <w:r>
        <w:rPr>
          <w:sz w:val="24"/>
        </w:rPr>
        <w:t xml:space="preserve">В АРЕНДУ ИЛИ ИНОЕ ПОЛЬЗОВАНИЕ ЗДАНИЙ, СТРОЕНИЙ,</w:t>
      </w:r>
    </w:p>
    <w:p>
      <w:pPr>
        <w:pStyle w:val="2"/>
        <w:jc w:val="center"/>
      </w:pPr>
      <w:r>
        <w:rPr>
          <w:sz w:val="24"/>
        </w:rPr>
        <w:t xml:space="preserve">СООРУЖЕНИЙ, ИХ ЧАСТЕЙ, ВХОДЯЩИХ В СОСТАВ ТАКИХ ОБЪЕКТОВ</w:t>
      </w:r>
    </w:p>
    <w:p>
      <w:pPr>
        <w:pStyle w:val="2"/>
        <w:jc w:val="center"/>
      </w:pPr>
      <w:r>
        <w:rPr>
          <w:sz w:val="24"/>
        </w:rPr>
        <w:t xml:space="preserve">ТОПЛИВНО-ЭНЕРГЕТИЧЕСКОГО КОМПЛЕКСА, А ТАКЖЕ ЗЕМЕЛЬНЫХ</w:t>
      </w:r>
    </w:p>
    <w:p>
      <w:pPr>
        <w:pStyle w:val="2"/>
        <w:jc w:val="center"/>
      </w:pPr>
      <w:r>
        <w:rPr>
          <w:sz w:val="24"/>
        </w:rPr>
        <w:t xml:space="preserve">УЧАСТКОВ, НА КОТОРЫХ РАЗМЕЩЕНЫ УКАЗАННЫЕ ОБЪЕКТЫ</w:t>
      </w:r>
    </w:p>
    <w:p>
      <w:pPr>
        <w:pStyle w:val="2"/>
        <w:jc w:val="center"/>
      </w:pPr>
      <w:r>
        <w:rPr>
          <w:sz w:val="24"/>
        </w:rPr>
        <w:t xml:space="preserve">ТОПЛИВНО-ЭНЕРГЕТИЧЕСКОГО КОМПЛЕКСА, ДЛЯ ЦЕЛЕЙ,</w:t>
      </w:r>
    </w:p>
    <w:p>
      <w:pPr>
        <w:pStyle w:val="2"/>
        <w:jc w:val="center"/>
      </w:pPr>
      <w:r>
        <w:rPr>
          <w:sz w:val="24"/>
        </w:rPr>
        <w:t xml:space="preserve">НЕ СВЯЗАННЫХ С ПРОИЗВОДСТВЕННОЙ ДЕЯТЕЛЬНОСТЬЮ</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8" w:tooltip="Приказ Минэнерго России от 13.05.2024 N 460 &quot;О внесении изменений в Порядок согласования передачи субъектами топливно-энергетического комплекса, владеющими на праве собственности или ином законном основании объектами топливно-энергетического комплекса, которым присвоена высокая категория опасности, в аренду или иное пользование зданий, строений, сооружений, их частей, входящих в состав таких объектов топливно-энергетического комплекса, а также земельных участков, на которых размещены указанные объекты топли {КонсультантПлюс}">
              <w:r>
                <w:rPr>
                  <w:sz w:val="24"/>
                  <w:color w:val="0000ff"/>
                </w:rPr>
                <w:t xml:space="preserve">Приказа</w:t>
              </w:r>
            </w:hyperlink>
            <w:r>
              <w:rPr>
                <w:sz w:val="24"/>
                <w:color w:val="392c69"/>
              </w:rPr>
              <w:t xml:space="preserve"> Минэнерго России от 13.05.2024 N 460)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0"/>
        <w:ind w:firstLine="540"/>
        <w:jc w:val="both"/>
      </w:pPr>
      <w:r>
        <w:rPr>
          <w:sz w:val="24"/>
        </w:rPr>
        <w:t xml:space="preserve">В соответствии с </w:t>
      </w:r>
      <w:hyperlink w:history="0" r:id="rId9" w:tooltip="Федеральный закон от 21.07.2011 N 256-ФЗ (ред. от 07.07.2025) &quot;О безопасности объектов топливно-энергетического комплекса&quot; {КонсультантПлюс}">
        <w:r>
          <w:rPr>
            <w:sz w:val="24"/>
            <w:color w:val="0000ff"/>
          </w:rPr>
          <w:t xml:space="preserve">частью 3 статьи 7</w:t>
        </w:r>
      </w:hyperlink>
      <w:r>
        <w:rPr>
          <w:sz w:val="24"/>
        </w:rPr>
        <w:t xml:space="preserve"> Федерального закона от 21 июля 2011 г. N 256-ФЗ "О безопасности объектов топливно-энергетического комплекса" &lt;1&gt; и </w:t>
      </w:r>
      <w:hyperlink w:history="0" r:id="rId10" w:tooltip="Постановление Правительства РФ от 28.05.2008 N 400 (ред. от 19.02.2026) &quot;О Министерстве энергетики Российской Федерации&quot; {КонсультантПлюс}">
        <w:r>
          <w:rPr>
            <w:sz w:val="24"/>
            <w:color w:val="0000ff"/>
          </w:rPr>
          <w:t xml:space="preserve">подпунктом 4.2.14(22)</w:t>
        </w:r>
      </w:hyperlink>
      <w:r>
        <w:rPr>
          <w:sz w:val="24"/>
        </w:rPr>
        <w:t xml:space="preserve"> Положения о Министерстве энергетики Российской Федерации, утвержденного постановлением Правительства Российской Федерации от 28 мая 2008 г. N 400 &lt;2&gt;, приказываю:</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&lt;1&gt; Собрание законодательства Российской Федерации, 2011, N 30, ст. 4604; 2022, N 27, ст. 4631.</w:t>
      </w:r>
    </w:p>
    <w:p>
      <w:pPr>
        <w:pStyle w:val="0"/>
        <w:spacing w:before="240" w:lineRule="auto"/>
        <w:ind w:firstLine="540"/>
        <w:jc w:val="both"/>
      </w:pPr>
      <w:r>
        <w:rPr>
          <w:sz w:val="24"/>
        </w:rPr>
        <w:t xml:space="preserve">&lt;2&gt; Собрание законодательства Российской Федерации, 2008, N 22, ст. 2577; 2022, N 40, ст. 6837.</w:t>
      </w:r>
    </w:p>
    <w:p>
      <w:pPr>
        <w:pStyle w:val="0"/>
        <w:ind w:firstLine="540"/>
        <w:jc w:val="both"/>
      </w:pPr>
      <w:r>
        <w:rPr>
          <w:sz w:val="24"/>
        </w:rPr>
      </w:r>
    </w:p>
    <w:p>
      <w:pPr>
        <w:pStyle w:val="0"/>
        <w:ind w:firstLine="540"/>
        <w:jc w:val="both"/>
      </w:pPr>
      <w:r>
        <w:rPr>
          <w:sz w:val="24"/>
        </w:rPr>
        <w:t xml:space="preserve">Утвердить прилагаемый </w:t>
      </w:r>
      <w:hyperlink w:history="0" w:anchor="P41" w:tooltip="ПОРЯДОК">
        <w:r>
          <w:rPr>
            <w:sz w:val="24"/>
            <w:color w:val="0000ff"/>
          </w:rPr>
          <w:t xml:space="preserve">Порядок</w:t>
        </w:r>
      </w:hyperlink>
      <w:r>
        <w:rPr>
          <w:sz w:val="24"/>
        </w:rPr>
        <w:t xml:space="preserve"> согласования передачи субъектами топливно-энергетического комплекса, владеющими на праве собственности или ином законном основании объектами топливно-энергетического комплекса, которым присвоена высокая категория опасности, в аренду или иное пользование зданий, строений, сооружений, их частей, входящих в состав таких объектов топливно-энергетического комплекса, а также земельных участков, на которых размещены указанные объекты топливно-энергетического комплекса, для целей, не связанных с производственной деятельностью.</w:t>
      </w:r>
    </w:p>
    <w:p>
      <w:pPr>
        <w:pStyle w:val="0"/>
        <w:ind w:firstLine="540"/>
        <w:jc w:val="both"/>
      </w:pPr>
      <w:r>
        <w:rPr>
          <w:sz w:val="24"/>
        </w:rPr>
      </w:r>
    </w:p>
    <w:p>
      <w:pPr>
        <w:pStyle w:val="0"/>
        <w:jc w:val="right"/>
      </w:pPr>
      <w:r>
        <w:rPr>
          <w:sz w:val="24"/>
        </w:rPr>
        <w:t xml:space="preserve">Министр</w:t>
      </w:r>
    </w:p>
    <w:p>
      <w:pPr>
        <w:pStyle w:val="0"/>
        <w:jc w:val="right"/>
      </w:pPr>
      <w:r>
        <w:rPr>
          <w:sz w:val="24"/>
        </w:rPr>
        <w:t xml:space="preserve">Н.Г.ШУЛЬГИНОВ</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0"/>
        <w:jc w:val="right"/>
      </w:pPr>
      <w:r>
        <w:rPr>
          <w:sz w:val="24"/>
        </w:rPr>
        <w:t xml:space="preserve">Утвержден</w:t>
      </w:r>
    </w:p>
    <w:p>
      <w:pPr>
        <w:pStyle w:val="0"/>
        <w:jc w:val="right"/>
      </w:pPr>
      <w:r>
        <w:rPr>
          <w:sz w:val="24"/>
        </w:rPr>
        <w:t xml:space="preserve">приказом Минэнерго России</w:t>
      </w:r>
    </w:p>
    <w:p>
      <w:pPr>
        <w:pStyle w:val="0"/>
        <w:jc w:val="right"/>
      </w:pPr>
      <w:r>
        <w:rPr>
          <w:sz w:val="24"/>
        </w:rPr>
        <w:t xml:space="preserve">от 9 декабря 2022 г. N 1299</w:t>
      </w:r>
    </w:p>
    <w:p>
      <w:pPr>
        <w:pStyle w:val="0"/>
        <w:jc w:val="right"/>
      </w:pPr>
      <w:r>
        <w:rPr>
          <w:sz w:val="24"/>
        </w:rPr>
      </w:r>
    </w:p>
    <w:bookmarkStart w:id="41" w:name="P41"/>
    <w:bookmarkEnd w:id="41"/>
    <w:p>
      <w:pPr>
        <w:pStyle w:val="2"/>
        <w:jc w:val="center"/>
      </w:pPr>
      <w:r>
        <w:rPr>
          <w:sz w:val="24"/>
        </w:rPr>
        <w:t xml:space="preserve">ПОРЯДОК</w:t>
      </w:r>
    </w:p>
    <w:p>
      <w:pPr>
        <w:pStyle w:val="2"/>
        <w:jc w:val="center"/>
      </w:pPr>
      <w:r>
        <w:rPr>
          <w:sz w:val="24"/>
        </w:rPr>
        <w:t xml:space="preserve">СОГЛАСОВАНИЯ ПЕРЕДАЧИ СУБЪЕКТАМИ ТОПЛИВНО-ЭНЕРГЕТИЧЕСКОГО</w:t>
      </w:r>
    </w:p>
    <w:p>
      <w:pPr>
        <w:pStyle w:val="2"/>
        <w:jc w:val="center"/>
      </w:pPr>
      <w:r>
        <w:rPr>
          <w:sz w:val="24"/>
        </w:rPr>
        <w:t xml:space="preserve">КОМПЛЕКСА, ВЛАДЕЮЩИМИ НА ПРАВЕ СОБСТВЕННОСТИ ИЛИ ИНОМ</w:t>
      </w:r>
    </w:p>
    <w:p>
      <w:pPr>
        <w:pStyle w:val="2"/>
        <w:jc w:val="center"/>
      </w:pPr>
      <w:r>
        <w:rPr>
          <w:sz w:val="24"/>
        </w:rPr>
        <w:t xml:space="preserve">ЗАКОННОМ ОСНОВАНИИ ОБЪЕКТАМИ ТОПЛИВНО-ЭНЕРГЕТИЧЕСКОГО</w:t>
      </w:r>
    </w:p>
    <w:p>
      <w:pPr>
        <w:pStyle w:val="2"/>
        <w:jc w:val="center"/>
      </w:pPr>
      <w:r>
        <w:rPr>
          <w:sz w:val="24"/>
        </w:rPr>
        <w:t xml:space="preserve">КОМПЛЕКСА, КОТОРЫМ ПРИСВОЕНА ВЫСОКАЯ КАТЕГОРИЯ ОПАСНОСТИ,</w:t>
      </w:r>
    </w:p>
    <w:p>
      <w:pPr>
        <w:pStyle w:val="2"/>
        <w:jc w:val="center"/>
      </w:pPr>
      <w:r>
        <w:rPr>
          <w:sz w:val="24"/>
        </w:rPr>
        <w:t xml:space="preserve">В АРЕНДУ ИЛИ ИНОЕ ПОЛЬЗОВАНИЕ ЗДАНИЙ, СТРОЕНИЙ,</w:t>
      </w:r>
    </w:p>
    <w:p>
      <w:pPr>
        <w:pStyle w:val="2"/>
        <w:jc w:val="center"/>
      </w:pPr>
      <w:r>
        <w:rPr>
          <w:sz w:val="24"/>
        </w:rPr>
        <w:t xml:space="preserve">СООРУЖЕНИЙ, ИХ ЧАСТЕЙ, ВХОДЯЩИХ В СОСТАВ ТАКИХ ОБЪЕКТОВ</w:t>
      </w:r>
    </w:p>
    <w:p>
      <w:pPr>
        <w:pStyle w:val="2"/>
        <w:jc w:val="center"/>
      </w:pPr>
      <w:r>
        <w:rPr>
          <w:sz w:val="24"/>
        </w:rPr>
        <w:t xml:space="preserve">ТОПЛИВНО-ЭНЕРГЕТИЧЕСКОГО КОМПЛЕКСА, А ТАКЖЕ ЗЕМЕЛЬНЫХ</w:t>
      </w:r>
    </w:p>
    <w:p>
      <w:pPr>
        <w:pStyle w:val="2"/>
        <w:jc w:val="center"/>
      </w:pPr>
      <w:r>
        <w:rPr>
          <w:sz w:val="24"/>
        </w:rPr>
        <w:t xml:space="preserve">УЧАСТКОВ, НА КОТОРЫХ РАЗМЕЩЕНЫ УКАЗАННЫЕ ОБЪЕКТЫ</w:t>
      </w:r>
    </w:p>
    <w:p>
      <w:pPr>
        <w:pStyle w:val="2"/>
        <w:jc w:val="center"/>
      </w:pPr>
      <w:r>
        <w:rPr>
          <w:sz w:val="24"/>
        </w:rPr>
        <w:t xml:space="preserve">ТОПЛИВНО-ЭНЕРГЕТИЧЕСКОГО КОМПЛЕКСА, ДЛЯ ЦЕЛЕЙ,</w:t>
      </w:r>
    </w:p>
    <w:p>
      <w:pPr>
        <w:pStyle w:val="2"/>
        <w:jc w:val="center"/>
      </w:pPr>
      <w:r>
        <w:rPr>
          <w:sz w:val="24"/>
        </w:rPr>
        <w:t xml:space="preserve">НЕ СВЯЗАННЫХ С ПРОИЗВОДСТВЕННОЙ ДЕЯТЕЛЬНОСТЬЮ</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hyperlink w:history="0" r:id="rId11" w:tooltip="Приказ Минэнерго России от 13.05.2024 N 460 &quot;О внесении изменений в Порядок согласования передачи субъектами топливно-энергетического комплекса, владеющими на праве собственности или ином законном основании объектами топливно-энергетического комплекса, которым присвоена высокая категория опасности, в аренду или иное пользование зданий, строений, сооружений, их частей, входящих в состав таких объектов топливно-энергетического комплекса, а также земельных участков, на которых размещены указанные объекты топли {КонсультантПлюс}">
              <w:r>
                <w:rPr>
                  <w:sz w:val="24"/>
                  <w:color w:val="0000ff"/>
                </w:rPr>
                <w:t xml:space="preserve">Приказа</w:t>
              </w:r>
            </w:hyperlink>
            <w:r>
              <w:rPr>
                <w:sz w:val="24"/>
                <w:color w:val="392c69"/>
              </w:rPr>
              <w:t xml:space="preserve"> Минэнерго России от 13.05.2024 N 460)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bookmarkStart w:id="55" w:name="P55"/>
    <w:bookmarkEnd w:id="55"/>
    <w:p>
      <w:pPr>
        <w:pStyle w:val="0"/>
        <w:ind w:firstLine="540"/>
        <w:jc w:val="both"/>
      </w:pPr>
      <w:r>
        <w:rPr>
          <w:sz w:val="24"/>
        </w:rPr>
        <w:t xml:space="preserve">1. Решение о согласовании передачи субъектами топливно-энергетического комплекса, владеющими на праве собственности или ином законном основании объектами топливно-энергетического комплекса &lt;1&gt;, которым присвоена высокая категория опасности &lt;2&gt;, в аренду или иное пользование зданий, строений, сооружений, их частей, входящих в состав объектов ТЭК, а также земельных участков, на которых размещены объекты ТЭК &lt;3&gt;, для целей, не связанных с производственной деятельностью, принимается Министром энергетики Российской Федерации или его заместителем, осуществляющим координацию осуществления полномочий Министерства энергетики Российской Федерации в сфере обеспечения антитеррористической защищенности и безопасности объектов ТЭК, на основании обращения субъекта ТЭК &lt;4&gt;, к которому прилагаются:</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&lt;1&gt; Далее - субъект ТЭК.</w:t>
      </w:r>
    </w:p>
    <w:p>
      <w:pPr>
        <w:pStyle w:val="0"/>
        <w:spacing w:before="240" w:lineRule="auto"/>
        <w:ind w:firstLine="540"/>
        <w:jc w:val="both"/>
      </w:pPr>
      <w:r>
        <w:rPr>
          <w:sz w:val="24"/>
        </w:rPr>
        <w:t xml:space="preserve">&lt;2&gt; Далее - объект ТЭК.</w:t>
      </w:r>
    </w:p>
    <w:p>
      <w:pPr>
        <w:pStyle w:val="0"/>
        <w:spacing w:before="240" w:lineRule="auto"/>
        <w:ind w:firstLine="540"/>
        <w:jc w:val="both"/>
      </w:pPr>
      <w:r>
        <w:rPr>
          <w:sz w:val="24"/>
        </w:rPr>
        <w:t xml:space="preserve">&lt;3&gt; Далее - Объект.</w:t>
      </w:r>
    </w:p>
    <w:p>
      <w:pPr>
        <w:pStyle w:val="0"/>
        <w:spacing w:before="240" w:lineRule="auto"/>
        <w:ind w:firstLine="540"/>
        <w:jc w:val="both"/>
      </w:pPr>
      <w:r>
        <w:rPr>
          <w:sz w:val="24"/>
        </w:rPr>
        <w:t xml:space="preserve">&lt;4&gt; Далее - обращение.</w:t>
      </w:r>
    </w:p>
    <w:p>
      <w:pPr>
        <w:pStyle w:val="0"/>
        <w:ind w:firstLine="540"/>
        <w:jc w:val="both"/>
      </w:pPr>
      <w:r>
        <w:rPr>
          <w:sz w:val="24"/>
        </w:rPr>
      </w:r>
    </w:p>
    <w:bookmarkStart w:id="62" w:name="P62"/>
    <w:bookmarkEnd w:id="62"/>
    <w:p>
      <w:pPr>
        <w:pStyle w:val="0"/>
        <w:ind w:firstLine="540"/>
        <w:jc w:val="both"/>
      </w:pPr>
      <w:r>
        <w:rPr>
          <w:sz w:val="24"/>
        </w:rPr>
        <w:t xml:space="preserve">а) справка, содержащая следующую информацию об Объекте, предполагаемом к передаче в аренду или иное пользование:</w:t>
      </w:r>
    </w:p>
    <w:p>
      <w:pPr>
        <w:pStyle w:val="0"/>
        <w:spacing w:before="240" w:lineRule="auto"/>
        <w:ind w:firstLine="540"/>
        <w:jc w:val="both"/>
      </w:pPr>
      <w:r>
        <w:rPr>
          <w:sz w:val="24"/>
        </w:rPr>
        <w:t xml:space="preserve">о расположении Объекта, в том числе относительно критических элементов объекта ТЭК;</w:t>
      </w:r>
    </w:p>
    <w:p>
      <w:pPr>
        <w:pStyle w:val="0"/>
        <w:spacing w:before="240" w:lineRule="auto"/>
        <w:ind w:firstLine="540"/>
        <w:jc w:val="both"/>
      </w:pPr>
      <w:r>
        <w:rPr>
          <w:sz w:val="24"/>
        </w:rPr>
        <w:t xml:space="preserve">об участии Объекта в технологическом процессе объекта ТЭК;</w:t>
      </w:r>
    </w:p>
    <w:p>
      <w:pPr>
        <w:pStyle w:val="0"/>
        <w:spacing w:before="240" w:lineRule="auto"/>
        <w:ind w:firstLine="540"/>
        <w:jc w:val="both"/>
      </w:pPr>
      <w:r>
        <w:rPr>
          <w:sz w:val="24"/>
        </w:rPr>
        <w:t xml:space="preserve">об отсутствии (наличии) на Объекте технологических коммуникаций, используемых в процессе водо-, тепло-, газо- и электроснабжения, оказания услуг связи, которые напрямую влияют на функционирование объекта ТЭК;</w:t>
      </w:r>
    </w:p>
    <w:p>
      <w:pPr>
        <w:pStyle w:val="0"/>
        <w:spacing w:before="240" w:lineRule="auto"/>
        <w:ind w:firstLine="540"/>
        <w:jc w:val="both"/>
      </w:pPr>
      <w:r>
        <w:rPr>
          <w:sz w:val="24"/>
        </w:rPr>
        <w:t xml:space="preserve">о фактическом использовании Объекта;</w:t>
      </w:r>
    </w:p>
    <w:p>
      <w:pPr>
        <w:pStyle w:val="0"/>
        <w:spacing w:before="240" w:lineRule="auto"/>
        <w:ind w:firstLine="540"/>
        <w:jc w:val="both"/>
      </w:pPr>
      <w:r>
        <w:rPr>
          <w:sz w:val="24"/>
        </w:rPr>
        <w:t xml:space="preserve">об использовании Объекта после передачи его в аренду или иное пользование;</w:t>
      </w:r>
    </w:p>
    <w:p>
      <w:pPr>
        <w:pStyle w:val="0"/>
        <w:spacing w:before="240" w:lineRule="auto"/>
        <w:ind w:firstLine="540"/>
        <w:jc w:val="both"/>
      </w:pPr>
      <w:r>
        <w:rPr>
          <w:sz w:val="24"/>
        </w:rPr>
        <w:t xml:space="preserve">об отсутствии (наличии) доступа посторонних лиц к потенциально опасным участкам объекта ТЭК и его критическим элементам после передачи Объекта в аренду или иное пользование;</w:t>
      </w:r>
    </w:p>
    <w:p>
      <w:pPr>
        <w:pStyle w:val="0"/>
        <w:spacing w:before="240" w:lineRule="auto"/>
        <w:ind w:firstLine="540"/>
        <w:jc w:val="both"/>
      </w:pPr>
      <w:r>
        <w:rPr>
          <w:sz w:val="24"/>
        </w:rPr>
        <w:t xml:space="preserve">б) копии документов, подтверждающих права субъекта ТЭК на объект ТЭК;</w:t>
      </w:r>
    </w:p>
    <w:p>
      <w:pPr>
        <w:pStyle w:val="0"/>
        <w:spacing w:before="240" w:lineRule="auto"/>
        <w:ind w:firstLine="540"/>
        <w:jc w:val="both"/>
      </w:pPr>
      <w:r>
        <w:rPr>
          <w:sz w:val="24"/>
        </w:rPr>
        <w:t xml:space="preserve">в) письменное подтверждение того, что у иностранного государства, международной организации, а также находящихся под их контролем организации, у иностранного юридического лица, иностранного гражданина либо лица без гражданства, гражданина Российской Федерации, имеющего гражданство другого государства, отсутствует возможность прямо или косвенно определять решения, принимаемые лицом, получающим от субъекта ТЭК Объект в аренду или иное пользование &lt;5&gt;, или давать обязательные для него указания;</w:t>
      </w:r>
    </w:p>
    <w:p>
      <w:pPr>
        <w:pStyle w:val="0"/>
        <w:spacing w:before="240" w:lineRule="auto"/>
        <w:ind w:firstLine="540"/>
        <w:jc w:val="both"/>
      </w:pPr>
      <w:r>
        <w:rPr>
          <w:sz w:val="24"/>
        </w:rPr>
        <w:t xml:space="preserve">--------------------------------</w:t>
      </w:r>
    </w:p>
    <w:p>
      <w:pPr>
        <w:pStyle w:val="0"/>
        <w:spacing w:before="240" w:lineRule="auto"/>
        <w:ind w:firstLine="540"/>
        <w:jc w:val="both"/>
      </w:pPr>
      <w:r>
        <w:rPr>
          <w:sz w:val="24"/>
        </w:rPr>
        <w:t xml:space="preserve">&lt;5&gt; Далее - потенциальная сторона.</w:t>
      </w:r>
    </w:p>
    <w:p>
      <w:pPr>
        <w:pStyle w:val="0"/>
        <w:ind w:firstLine="540"/>
        <w:jc w:val="both"/>
      </w:pPr>
      <w:r>
        <w:rPr>
          <w:sz w:val="24"/>
        </w:rPr>
      </w:r>
    </w:p>
    <w:bookmarkStart w:id="74" w:name="P74"/>
    <w:bookmarkEnd w:id="74"/>
    <w:p>
      <w:pPr>
        <w:pStyle w:val="0"/>
        <w:ind w:firstLine="540"/>
        <w:jc w:val="both"/>
      </w:pPr>
      <w:r>
        <w:rPr>
          <w:sz w:val="24"/>
        </w:rPr>
        <w:t xml:space="preserve">г) заверенные подписью руководителя и печатью организации (при наличии) копии учредительных документов потенциальной стороны;</w:t>
      </w:r>
    </w:p>
    <w:bookmarkStart w:id="75" w:name="P75"/>
    <w:bookmarkEnd w:id="75"/>
    <w:p>
      <w:pPr>
        <w:pStyle w:val="0"/>
        <w:spacing w:before="240" w:lineRule="auto"/>
        <w:ind w:firstLine="540"/>
        <w:jc w:val="both"/>
      </w:pPr>
      <w:r>
        <w:rPr>
          <w:sz w:val="24"/>
        </w:rPr>
        <w:t xml:space="preserve">д) информация о планируемом (ориентировочном) сроке начала и окончания аренды или пользования Объектом;</w:t>
      </w:r>
    </w:p>
    <w:bookmarkStart w:id="76" w:name="P76"/>
    <w:bookmarkEnd w:id="76"/>
    <w:p>
      <w:pPr>
        <w:pStyle w:val="0"/>
        <w:spacing w:before="240" w:lineRule="auto"/>
        <w:ind w:firstLine="540"/>
        <w:jc w:val="both"/>
      </w:pPr>
      <w:r>
        <w:rPr>
          <w:sz w:val="24"/>
        </w:rPr>
        <w:t xml:space="preserve">е) электронные копии всех представляемых документов и информации, в том числе в виде файлов на оптическом носителе (CD/DVD) или флэш-накопителе USB при направлении обращения в бумажном виде;</w:t>
      </w:r>
    </w:p>
    <w:p>
      <w:pPr>
        <w:pStyle w:val="0"/>
        <w:spacing w:before="240" w:lineRule="auto"/>
        <w:ind w:firstLine="540"/>
        <w:jc w:val="both"/>
      </w:pPr>
      <w:r>
        <w:rPr>
          <w:sz w:val="24"/>
        </w:rPr>
        <w:t xml:space="preserve">ж) информация о реквизитах письма, которым в Министерство энергетики Российской Федерации в соответствии с </w:t>
      </w:r>
      <w:hyperlink w:history="0" r:id="rId12" w:tooltip="Федеральный закон от 21.07.2011 N 256-ФЗ (ред. от 07.07.2025) &quot;О безопасности объектов топливно-энергетического комплекса&quot; {КонсультантПлюс}">
        <w:r>
          <w:rPr>
            <w:sz w:val="24"/>
            <w:color w:val="0000ff"/>
          </w:rPr>
          <w:t xml:space="preserve">частью 5 статьи 8</w:t>
        </w:r>
      </w:hyperlink>
      <w:r>
        <w:rPr>
          <w:sz w:val="24"/>
        </w:rPr>
        <w:t xml:space="preserve"> Федерального закона от 21 июля 2011 г. N 256-ФЗ "О безопасности объектов топливно-энергетического комплекса" направлялась копия паспорта безопасности объекта ТЭК.</w:t>
      </w:r>
    </w:p>
    <w:p>
      <w:pPr>
        <w:pStyle w:val="0"/>
        <w:jc w:val="both"/>
      </w:pPr>
      <w:r>
        <w:rPr>
          <w:sz w:val="24"/>
        </w:rPr>
        <w:t xml:space="preserve">(пп. "ж" введен </w:t>
      </w:r>
      <w:hyperlink w:history="0" r:id="rId13" w:tooltip="Приказ Минэнерго России от 13.05.2024 N 460 &quot;О внесении изменений в Порядок согласования передачи субъектами топливно-энергетического комплекса, владеющими на праве собственности или ином законном основании объектами топливно-энергетического комплекса, которым присвоена высокая категория опасности, в аренду или иное пользование зданий, строений, сооружений, их частей, входящих в состав таких объектов топливно-энергетического комплекса, а также земельных участков, на которых размещены указанные объекты топли {КонсультантПлюс}">
        <w:r>
          <w:rPr>
            <w:sz w:val="24"/>
            <w:color w:val="0000ff"/>
          </w:rPr>
          <w:t xml:space="preserve">Приказом</w:t>
        </w:r>
      </w:hyperlink>
      <w:r>
        <w:rPr>
          <w:sz w:val="24"/>
        </w:rPr>
        <w:t xml:space="preserve"> Минэнерго России от 13.05.2024 N 460)</w:t>
      </w:r>
    </w:p>
    <w:p>
      <w:pPr>
        <w:pStyle w:val="0"/>
        <w:spacing w:before="240" w:lineRule="auto"/>
        <w:ind w:firstLine="540"/>
        <w:jc w:val="both"/>
      </w:pPr>
      <w:r>
        <w:rPr>
          <w:sz w:val="24"/>
        </w:rPr>
        <w:t xml:space="preserve">2. Обращение может направляться в Министерство энергетики Российской Федерации в бумажном виде посредством почтового отправления или в электронном виде посредством электронной почты и (или) иным способом, предусматривающим возможность представления информации в электронном виде.</w:t>
      </w:r>
    </w:p>
    <w:p>
      <w:pPr>
        <w:pStyle w:val="0"/>
        <w:spacing w:before="240" w:lineRule="auto"/>
        <w:ind w:firstLine="540"/>
        <w:jc w:val="both"/>
      </w:pPr>
      <w:r>
        <w:rPr>
          <w:sz w:val="24"/>
        </w:rPr>
        <w:t xml:space="preserve">3. По результатам рассмотрения представленного субъектом ТЭК обращения Министерство энергетики Российской Федерации принимает решение об отказе в согласовании передачи Объекта в аренду или иное пользование в случае:</w:t>
      </w:r>
    </w:p>
    <w:p>
      <w:pPr>
        <w:pStyle w:val="0"/>
        <w:spacing w:before="240" w:lineRule="auto"/>
        <w:ind w:firstLine="540"/>
        <w:jc w:val="both"/>
      </w:pPr>
      <w:r>
        <w:rPr>
          <w:sz w:val="24"/>
        </w:rPr>
        <w:t xml:space="preserve">а) непредставления указанных в </w:t>
      </w:r>
      <w:hyperlink w:history="0" w:anchor="P55" w:tooltip="1. Решение о согласовании передачи субъектами топливно-энергетического комплекса, владеющими на праве собственности или ином законном основании объектами топливно-энергетического комплекса &lt;1&gt;, которым присвоена высокая категория опасности &lt;2&gt;, в аренду или иное пользование зданий, строений, сооружений, их частей, входящих в состав объектов ТЭК, а также земельных участков, на которых размещены объекты ТЭК &lt;3&gt;, для целей, не связанных с производственной деятельностью, принимается Министром энергетики Росс...">
        <w:r>
          <w:rPr>
            <w:sz w:val="24"/>
            <w:color w:val="0000ff"/>
          </w:rPr>
          <w:t xml:space="preserve">пункте 1</w:t>
        </w:r>
      </w:hyperlink>
      <w:r>
        <w:rPr>
          <w:sz w:val="24"/>
        </w:rPr>
        <w:t xml:space="preserve"> настоящего Порядка документов и сведений по истечении срока, установленного </w:t>
      </w:r>
      <w:hyperlink w:history="0" w:anchor="P101" w:tooltip="5. Субъект ТЭК в течение 3 рабочих дней со дня получения запроса Министерства энергетики Российской Федерации представляет недостающие документы и сведения.">
        <w:r>
          <w:rPr>
            <w:sz w:val="24"/>
            <w:color w:val="0000ff"/>
          </w:rPr>
          <w:t xml:space="preserve">пунктом 5</w:t>
        </w:r>
      </w:hyperlink>
      <w:r>
        <w:rPr>
          <w:sz w:val="24"/>
        </w:rPr>
        <w:t xml:space="preserve"> настоящего Порядка;</w:t>
      </w:r>
    </w:p>
    <w:p>
      <w:pPr>
        <w:pStyle w:val="0"/>
        <w:spacing w:before="240" w:lineRule="auto"/>
        <w:ind w:firstLine="540"/>
        <w:jc w:val="both"/>
      </w:pPr>
      <w:r>
        <w:rPr>
          <w:sz w:val="24"/>
        </w:rPr>
        <w:t xml:space="preserve">б) выявления в обращении и приложенных к нему документах недостоверных сведений;</w:t>
      </w:r>
    </w:p>
    <w:p>
      <w:pPr>
        <w:pStyle w:val="0"/>
        <w:spacing w:before="240" w:lineRule="auto"/>
        <w:ind w:firstLine="540"/>
        <w:jc w:val="both"/>
      </w:pPr>
      <w:r>
        <w:rPr>
          <w:sz w:val="24"/>
        </w:rPr>
        <w:t xml:space="preserve">в) выявления несоответствия обращения и приложенных к нему документов, представленных на бумажном носителе и в электронной форме;</w:t>
      </w:r>
    </w:p>
    <w:bookmarkStart w:id="84" w:name="P84"/>
    <w:bookmarkEnd w:id="84"/>
    <w:p>
      <w:pPr>
        <w:pStyle w:val="0"/>
        <w:spacing w:before="240" w:lineRule="auto"/>
        <w:ind w:firstLine="540"/>
        <w:jc w:val="both"/>
      </w:pPr>
      <w:r>
        <w:rPr>
          <w:sz w:val="24"/>
        </w:rPr>
        <w:t xml:space="preserve">г) наличия таких факторов, способствующих нарушению устойчивого и безопасного функционирования объекта ТЭК, как:</w:t>
      </w:r>
    </w:p>
    <w:p>
      <w:pPr>
        <w:pStyle w:val="0"/>
        <w:spacing w:before="240" w:lineRule="auto"/>
        <w:ind w:firstLine="540"/>
        <w:jc w:val="both"/>
      </w:pPr>
      <w:r>
        <w:rPr>
          <w:sz w:val="24"/>
        </w:rPr>
        <w:t xml:space="preserve">прилегание предполагаемого к передаче в аренду или иное пользование Объекта к критическому элементу объекта ТЭК;</w:t>
      </w:r>
    </w:p>
    <w:p>
      <w:pPr>
        <w:pStyle w:val="0"/>
        <w:spacing w:before="240" w:lineRule="auto"/>
        <w:ind w:firstLine="540"/>
        <w:jc w:val="both"/>
      </w:pPr>
      <w:r>
        <w:rPr>
          <w:sz w:val="24"/>
        </w:rPr>
        <w:t xml:space="preserve">участие предполагаемого к передаче в аренду или иное пользование Объекта в технологическом процессе объекта ТЭК;</w:t>
      </w:r>
    </w:p>
    <w:p>
      <w:pPr>
        <w:pStyle w:val="0"/>
        <w:spacing w:before="240" w:lineRule="auto"/>
        <w:ind w:firstLine="540"/>
        <w:jc w:val="both"/>
      </w:pPr>
      <w:r>
        <w:rPr>
          <w:sz w:val="24"/>
        </w:rPr>
        <w:t xml:space="preserve">наличие на Объекте технологических коммуникаций, используемых в процессе водо-, тепло-, газо- и электроснабжения, оказания услуг связи, которые напрямую влияют на функционирование объекта ТЭК;</w:t>
      </w:r>
    </w:p>
    <w:p>
      <w:pPr>
        <w:pStyle w:val="0"/>
        <w:spacing w:before="240" w:lineRule="auto"/>
        <w:ind w:firstLine="540"/>
        <w:jc w:val="both"/>
      </w:pPr>
      <w:r>
        <w:rPr>
          <w:sz w:val="24"/>
        </w:rPr>
        <w:t xml:space="preserve">наличие доступа посторонних лиц к потенциально опасным участкам объекта ТЭК и его критическим элементам;</w:t>
      </w:r>
    </w:p>
    <w:p>
      <w:pPr>
        <w:pStyle w:val="0"/>
        <w:spacing w:before="240" w:lineRule="auto"/>
        <w:ind w:firstLine="540"/>
        <w:jc w:val="both"/>
      </w:pPr>
      <w:r>
        <w:rPr>
          <w:sz w:val="24"/>
        </w:rPr>
        <w:t xml:space="preserve">д) наличия возможности у иностранного государства, международной организации, а также находящихся под их контролем организации, у иностранного юридического лица, иностранного гражданина либо лица без гражданства, гражданина Российской Федерации, имеющего гражданство другого государства, прямо или косвенно определять решения, принимаемые потенциальной стороной, или давать обязательные для нее указания.</w:t>
      </w:r>
    </w:p>
    <w:p>
      <w:pPr>
        <w:pStyle w:val="0"/>
        <w:spacing w:before="240" w:lineRule="auto"/>
        <w:ind w:firstLine="540"/>
        <w:jc w:val="both"/>
      </w:pPr>
      <w:r>
        <w:rPr>
          <w:sz w:val="24"/>
        </w:rPr>
        <w:t xml:space="preserve">Факторы, указанные в </w:t>
      </w:r>
      <w:hyperlink w:history="0" w:anchor="P84" w:tooltip="г) наличия таких факторов, способствующих нарушению устойчивого и безопасного функционирования объекта ТЭК, как:">
        <w:r>
          <w:rPr>
            <w:sz w:val="24"/>
            <w:color w:val="0000ff"/>
          </w:rPr>
          <w:t xml:space="preserve">подпункте "г"</w:t>
        </w:r>
      </w:hyperlink>
      <w:r>
        <w:rPr>
          <w:sz w:val="24"/>
        </w:rPr>
        <w:t xml:space="preserve"> настоящего пункта, не учитываются в следующих случаях:</w:t>
      </w:r>
    </w:p>
    <w:p>
      <w:pPr>
        <w:pStyle w:val="0"/>
        <w:jc w:val="both"/>
      </w:pPr>
      <w:r>
        <w:rPr>
          <w:sz w:val="24"/>
        </w:rPr>
        <w:t xml:space="preserve">(абзац введен </w:t>
      </w:r>
      <w:hyperlink w:history="0" r:id="rId14" w:tooltip="Приказ Минэнерго России от 13.05.2024 N 460 &quot;О внесении изменений в Порядок согласования передачи субъектами топливно-энергетического комплекса, владеющими на праве собственности или ином законном основании объектами топливно-энергетического комплекса, которым присвоена высокая категория опасности, в аренду или иное пользование зданий, строений, сооружений, их частей, входящих в состав таких объектов топливно-энергетического комплекса, а также земельных участков, на которых размещены указанные объекты топли {КонсультантПлюс}">
        <w:r>
          <w:rPr>
            <w:sz w:val="24"/>
            <w:color w:val="0000ff"/>
          </w:rPr>
          <w:t xml:space="preserve">Приказом</w:t>
        </w:r>
      </w:hyperlink>
      <w:r>
        <w:rPr>
          <w:sz w:val="24"/>
        </w:rPr>
        <w:t xml:space="preserve"> Минэнерго России от 13.05.2024 N 460)</w:t>
      </w:r>
    </w:p>
    <w:p>
      <w:pPr>
        <w:pStyle w:val="0"/>
        <w:spacing w:before="240" w:lineRule="auto"/>
        <w:ind w:firstLine="540"/>
        <w:jc w:val="both"/>
      </w:pPr>
      <w:r>
        <w:rPr>
          <w:sz w:val="24"/>
        </w:rPr>
        <w:t xml:space="preserve">при технологической невозможности избежать прилегания Объекта к критическому элементу объекта ТЭК и (или) расположения на Объекте технологических коммуникаций, используемых в процессе водо-, тепло-, газо- и электроснабжения, оказания услуг связи, которые напрямую влияют на функционирование объекта ТЭК;</w:t>
      </w:r>
    </w:p>
    <w:p>
      <w:pPr>
        <w:pStyle w:val="0"/>
        <w:jc w:val="both"/>
      </w:pPr>
      <w:r>
        <w:rPr>
          <w:sz w:val="24"/>
        </w:rPr>
        <w:t xml:space="preserve">(абзац введен </w:t>
      </w:r>
      <w:hyperlink w:history="0" r:id="rId15" w:tooltip="Приказ Минэнерго России от 13.05.2024 N 460 &quot;О внесении изменений в Порядок согласования передачи субъектами топливно-энергетического комплекса, владеющими на праве собственности или ином законном основании объектами топливно-энергетического комплекса, которым присвоена высокая категория опасности, в аренду или иное пользование зданий, строений, сооружений, их частей, входящих в состав таких объектов топливно-энергетического комплекса, а также земельных участков, на которых размещены указанные объекты топли {КонсультантПлюс}">
        <w:r>
          <w:rPr>
            <w:sz w:val="24"/>
            <w:color w:val="0000ff"/>
          </w:rPr>
          <w:t xml:space="preserve">Приказом</w:t>
        </w:r>
      </w:hyperlink>
      <w:r>
        <w:rPr>
          <w:sz w:val="24"/>
        </w:rPr>
        <w:t xml:space="preserve"> Минэнерго России от 13.05.2024 N 460)</w:t>
      </w:r>
    </w:p>
    <w:p>
      <w:pPr>
        <w:pStyle w:val="0"/>
        <w:spacing w:before="240" w:lineRule="auto"/>
        <w:ind w:firstLine="540"/>
        <w:jc w:val="both"/>
      </w:pPr>
      <w:r>
        <w:rPr>
          <w:sz w:val="24"/>
        </w:rPr>
        <w:t xml:space="preserve">если прилегание Объекта к критическому элементу объекта ТЭК и (или) расположение на Объекте технологических коммуникаций, используемых в процессе водо-, тепло-, газо- и электроснабжения, оказания услуг связи, которые напрямую влияют на функционирование объекта ТЭК, предусмотрены при проектировании и строительстве такого объекта ТЭК;</w:t>
      </w:r>
    </w:p>
    <w:p>
      <w:pPr>
        <w:pStyle w:val="0"/>
        <w:jc w:val="both"/>
      </w:pPr>
      <w:r>
        <w:rPr>
          <w:sz w:val="24"/>
        </w:rPr>
        <w:t xml:space="preserve">(абзац введен </w:t>
      </w:r>
      <w:hyperlink w:history="0" r:id="rId16" w:tooltip="Приказ Минэнерго России от 13.05.2024 N 460 &quot;О внесении изменений в Порядок согласования передачи субъектами топливно-энергетического комплекса, владеющими на праве собственности или ином законном основании объектами топливно-энергетического комплекса, которым присвоена высокая категория опасности, в аренду или иное пользование зданий, строений, сооружений, их частей, входящих в состав таких объектов топливно-энергетического комплекса, а также земельных участков, на которых размещены указанные объекты топли {КонсультантПлюс}">
        <w:r>
          <w:rPr>
            <w:sz w:val="24"/>
            <w:color w:val="0000ff"/>
          </w:rPr>
          <w:t xml:space="preserve">Приказом</w:t>
        </w:r>
      </w:hyperlink>
      <w:r>
        <w:rPr>
          <w:sz w:val="24"/>
        </w:rPr>
        <w:t xml:space="preserve"> Минэнерго России от 13.05.2024 N 460)</w:t>
      </w:r>
    </w:p>
    <w:p>
      <w:pPr>
        <w:pStyle w:val="0"/>
        <w:spacing w:before="240" w:lineRule="auto"/>
        <w:ind w:firstLine="540"/>
        <w:jc w:val="both"/>
      </w:pPr>
      <w:r>
        <w:rPr>
          <w:sz w:val="24"/>
        </w:rPr>
        <w:t xml:space="preserve">при передаче Объекта в аренду или иное пользование органу государственной власти, органу местного самоуправления или подведомственным им организациям;</w:t>
      </w:r>
    </w:p>
    <w:p>
      <w:pPr>
        <w:pStyle w:val="0"/>
        <w:jc w:val="both"/>
      </w:pPr>
      <w:r>
        <w:rPr>
          <w:sz w:val="24"/>
        </w:rPr>
        <w:t xml:space="preserve">(абзац введен </w:t>
      </w:r>
      <w:hyperlink w:history="0" r:id="rId17" w:tooltip="Приказ Минэнерго России от 13.05.2024 N 460 &quot;О внесении изменений в Порядок согласования передачи субъектами топливно-энергетического комплекса, владеющими на праве собственности или ином законном основании объектами топливно-энергетического комплекса, которым присвоена высокая категория опасности, в аренду или иное пользование зданий, строений, сооружений, их частей, входящих в состав таких объектов топливно-энергетического комплекса, а также земельных участков, на которых размещены указанные объекты топли {КонсультантПлюс}">
        <w:r>
          <w:rPr>
            <w:sz w:val="24"/>
            <w:color w:val="0000ff"/>
          </w:rPr>
          <w:t xml:space="preserve">Приказом</w:t>
        </w:r>
      </w:hyperlink>
      <w:r>
        <w:rPr>
          <w:sz w:val="24"/>
        </w:rPr>
        <w:t xml:space="preserve"> Минэнерго России от 13.05.2024 N 460)</w:t>
      </w:r>
    </w:p>
    <w:p>
      <w:pPr>
        <w:pStyle w:val="0"/>
        <w:spacing w:before="240" w:lineRule="auto"/>
        <w:ind w:firstLine="540"/>
        <w:jc w:val="both"/>
      </w:pPr>
      <w:r>
        <w:rPr>
          <w:sz w:val="24"/>
        </w:rPr>
        <w:t xml:space="preserve">при необходимости передачи Объекта в аренду или иное пользование в целях обеспечения прав и законных интересов неопределенного круга лиц, в том числе для установки (прокладки) сооружений связи, линий связи и средств связи для целей предоставления услуг связи, а также для прокладки (установки) объектов электросетевого хозяйства, газоснабжения, теплоснабжения, водоснабжения и водоотведения.</w:t>
      </w:r>
    </w:p>
    <w:p>
      <w:pPr>
        <w:pStyle w:val="0"/>
        <w:jc w:val="both"/>
      </w:pPr>
      <w:r>
        <w:rPr>
          <w:sz w:val="24"/>
        </w:rPr>
        <w:t xml:space="preserve">(абзац введен </w:t>
      </w:r>
      <w:hyperlink w:history="0" r:id="rId18" w:tooltip="Приказ Минэнерго России от 13.05.2024 N 460 &quot;О внесении изменений в Порядок согласования передачи субъектами топливно-энергетического комплекса, владеющими на праве собственности или ином законном основании объектами топливно-энергетического комплекса, которым присвоена высокая категория опасности, в аренду или иное пользование зданий, строений, сооружений, их частей, входящих в состав таких объектов топливно-энергетического комплекса, а также земельных участков, на которых размещены указанные объекты топли {КонсультантПлюс}">
        <w:r>
          <w:rPr>
            <w:sz w:val="24"/>
            <w:color w:val="0000ff"/>
          </w:rPr>
          <w:t xml:space="preserve">Приказом</w:t>
        </w:r>
      </w:hyperlink>
      <w:r>
        <w:rPr>
          <w:sz w:val="24"/>
        </w:rPr>
        <w:t xml:space="preserve"> Минэнерго России от 13.05.2024 N 460)</w:t>
      </w:r>
    </w:p>
    <w:p>
      <w:pPr>
        <w:pStyle w:val="0"/>
        <w:spacing w:before="240" w:lineRule="auto"/>
        <w:ind w:firstLine="540"/>
        <w:jc w:val="both"/>
      </w:pPr>
      <w:r>
        <w:rPr>
          <w:sz w:val="24"/>
        </w:rPr>
        <w:t xml:space="preserve">4. В случае представления субъектом ТЭК неполного комплекта документов или сведений, указанных в </w:t>
      </w:r>
      <w:hyperlink w:history="0" w:anchor="P55" w:tooltip="1. Решение о согласовании передачи субъектами топливно-энергетического комплекса, владеющими на праве собственности или ином законном основании объектами топливно-энергетического комплекса &lt;1&gt;, которым присвоена высокая категория опасности &lt;2&gt;, в аренду или иное пользование зданий, строений, сооружений, их частей, входящих в состав объектов ТЭК, а также земельных участков, на которых размещены объекты ТЭК &lt;3&gt;, для целей, не связанных с производственной деятельностью, принимается Министром энергетики Росс...">
        <w:r>
          <w:rPr>
            <w:sz w:val="24"/>
            <w:color w:val="0000ff"/>
          </w:rPr>
          <w:t xml:space="preserve">пункте 1</w:t>
        </w:r>
      </w:hyperlink>
      <w:r>
        <w:rPr>
          <w:sz w:val="24"/>
        </w:rPr>
        <w:t xml:space="preserve"> настоящего Порядка, Министерство энергетики Российской Федерации в течение 5 рабочих дней со дня получения обращения направляет субъекту ТЭК запрос об их представлении.</w:t>
      </w:r>
    </w:p>
    <w:bookmarkStart w:id="101" w:name="P101"/>
    <w:bookmarkEnd w:id="101"/>
    <w:p>
      <w:pPr>
        <w:pStyle w:val="0"/>
        <w:spacing w:before="240" w:lineRule="auto"/>
        <w:ind w:firstLine="540"/>
        <w:jc w:val="both"/>
      </w:pPr>
      <w:r>
        <w:rPr>
          <w:sz w:val="24"/>
        </w:rPr>
        <w:t xml:space="preserve">5. Субъект ТЭК в течение 3 рабочих дней со дня получения запроса Министерства энергетики Российской Федерации представляет недостающие документы и сведения.</w:t>
      </w:r>
    </w:p>
    <w:p>
      <w:pPr>
        <w:pStyle w:val="0"/>
        <w:spacing w:before="240" w:lineRule="auto"/>
        <w:ind w:firstLine="540"/>
        <w:jc w:val="both"/>
      </w:pPr>
      <w:r>
        <w:rPr>
          <w:sz w:val="24"/>
        </w:rPr>
        <w:t xml:space="preserve">6. Решение Министерства энергетики Российской Федерации о согласовании (об отказе в согласовании) передачи Объекта в аренду или иное пользование принимается на основании результатов рассмотрения представленного субъектом ТЭК обращения и приложенных к нему документов, оформляется письмом Министерства энергетики Российской Федерации и направляется субъекту ТЭК в течение 20 рабочих дней со дня получения обращения.</w:t>
      </w:r>
    </w:p>
    <w:p>
      <w:pPr>
        <w:pStyle w:val="0"/>
        <w:spacing w:before="240" w:lineRule="auto"/>
        <w:ind w:firstLine="540"/>
        <w:jc w:val="both"/>
      </w:pPr>
      <w:r>
        <w:rPr>
          <w:sz w:val="24"/>
        </w:rPr>
        <w:t xml:space="preserve">7 - 9. Утратили силу. - </w:t>
      </w:r>
      <w:hyperlink w:history="0" r:id="rId19" w:tooltip="Приказ Минэнерго России от 13.05.2024 N 460 &quot;О внесении изменений в Порядок согласования передачи субъектами топливно-энергетического комплекса, владеющими на праве собственности или ином законном основании объектами топливно-энергетического комплекса, которым присвоена высокая категория опасности, в аренду или иное пользование зданий, строений, сооружений, их частей, входящих в состав таких объектов топливно-энергетического комплекса, а также земельных участков, на которых размещены указанные объекты топли {КонсультантПлюс}">
        <w:r>
          <w:rPr>
            <w:sz w:val="24"/>
            <w:color w:val="0000ff"/>
          </w:rPr>
          <w:t xml:space="preserve">Приказ</w:t>
        </w:r>
      </w:hyperlink>
      <w:r>
        <w:rPr>
          <w:sz w:val="24"/>
        </w:rPr>
        <w:t xml:space="preserve"> Минэнерго России от 13.05.2024 N 460.</w:t>
      </w:r>
    </w:p>
    <w:p>
      <w:pPr>
        <w:pStyle w:val="0"/>
        <w:spacing w:before="240" w:lineRule="auto"/>
        <w:ind w:firstLine="540"/>
        <w:jc w:val="both"/>
      </w:pPr>
      <w:r>
        <w:rPr>
          <w:sz w:val="24"/>
        </w:rPr>
        <w:t xml:space="preserve">10. Повторное согласование передачи Объекта в аренду или иное пользование не требуется:</w:t>
      </w:r>
    </w:p>
    <w:bookmarkStart w:id="105" w:name="P105"/>
    <w:bookmarkEnd w:id="105"/>
    <w:p>
      <w:pPr>
        <w:pStyle w:val="0"/>
        <w:spacing w:before="240" w:lineRule="auto"/>
        <w:ind w:firstLine="540"/>
        <w:jc w:val="both"/>
      </w:pPr>
      <w:r>
        <w:rPr>
          <w:sz w:val="24"/>
        </w:rPr>
        <w:t xml:space="preserve">в случае внесения изменений в договор аренды или иного пользования Объекта, обусловленных преобразованием объектов недвижимости (в том числе разделом объекта недвижимости, объединением объектов недвижимости, перепланировкой помещений, изменением границ между смежными помещениями) или земельных участков (объединением, разделом или перераспределением земельных участков), изменением их характеристик (например, общей площади, вида разрешенного использования объекта недвижимости или земельного участка) после поступления решения Министерства энергетики Российской Федерации о согласовании передачи Объекта в аренду или иное пользование без изменения информации, предусмотренной </w:t>
      </w:r>
      <w:hyperlink w:history="0" w:anchor="P62" w:tooltip="а) справка, содержащая следующую информацию об Объекте, предполагаемом к передаче в аренду или иное пользование:">
        <w:r>
          <w:rPr>
            <w:sz w:val="24"/>
            <w:color w:val="0000ff"/>
          </w:rPr>
          <w:t xml:space="preserve">подпунктами "а"</w:t>
        </w:r>
      </w:hyperlink>
      <w:r>
        <w:rPr>
          <w:sz w:val="24"/>
        </w:rPr>
        <w:t xml:space="preserve"> - </w:t>
      </w:r>
      <w:hyperlink w:history="0" w:anchor="P75" w:tooltip="д) информация о планируемом (ориентировочном) сроке начала и окончания аренды или пользования Объектом;">
        <w:r>
          <w:rPr>
            <w:sz w:val="24"/>
            <w:color w:val="0000ff"/>
          </w:rPr>
          <w:t xml:space="preserve">"д"</w:t>
        </w:r>
      </w:hyperlink>
      <w:r>
        <w:rPr>
          <w:sz w:val="24"/>
        </w:rPr>
        <w:t xml:space="preserve"> и </w:t>
      </w:r>
      <w:hyperlink w:history="0" w:anchor="P76" w:tooltip="е) электронные копии всех представляемых документов и информации, в том числе в виде файлов на оптическом носителе (CD/DVD) или флэш-накопителе USB при направлении обращения в бумажном виде;">
        <w:r>
          <w:rPr>
            <w:sz w:val="24"/>
            <w:color w:val="0000ff"/>
          </w:rPr>
          <w:t xml:space="preserve">"е" пункта 1</w:t>
        </w:r>
      </w:hyperlink>
      <w:r>
        <w:rPr>
          <w:sz w:val="24"/>
        </w:rPr>
        <w:t xml:space="preserve"> настоящего Порядка;</w:t>
      </w:r>
    </w:p>
    <w:bookmarkStart w:id="106" w:name="P106"/>
    <w:bookmarkEnd w:id="106"/>
    <w:p>
      <w:pPr>
        <w:pStyle w:val="0"/>
        <w:spacing w:before="240" w:lineRule="auto"/>
        <w:ind w:firstLine="540"/>
        <w:jc w:val="both"/>
      </w:pPr>
      <w:r>
        <w:rPr>
          <w:sz w:val="24"/>
        </w:rPr>
        <w:t xml:space="preserve">в случае продления срока действия заключенного договора аренды или иного пользования Объекта (при отсутствии изменений, касающихся предмета и сторон договора) или заключения нового договора аренды или иного пользования Объекта между теми же сторонами и по тому же предмету после поступления решения Министерства энергетики Российской Федерации о согласовании передачи Объекта в аренду или иное пользование без изменения информации, предусмотренной </w:t>
      </w:r>
      <w:hyperlink w:history="0" w:anchor="P62" w:tooltip="а) справка, содержащая следующую информацию об Объекте, предполагаемом к передаче в аренду или иное пользование:">
        <w:r>
          <w:rPr>
            <w:sz w:val="24"/>
            <w:color w:val="0000ff"/>
          </w:rPr>
          <w:t xml:space="preserve">подпунктами "а"</w:t>
        </w:r>
      </w:hyperlink>
      <w:r>
        <w:rPr>
          <w:sz w:val="24"/>
        </w:rPr>
        <w:t xml:space="preserve"> - </w:t>
      </w:r>
      <w:hyperlink w:history="0" w:anchor="P74" w:tooltip="г) заверенные подписью руководителя и печатью организации (при наличии) копии учредительных документов потенциальной стороны;">
        <w:r>
          <w:rPr>
            <w:sz w:val="24"/>
            <w:color w:val="0000ff"/>
          </w:rPr>
          <w:t xml:space="preserve">"г"</w:t>
        </w:r>
      </w:hyperlink>
      <w:r>
        <w:rPr>
          <w:sz w:val="24"/>
        </w:rPr>
        <w:t xml:space="preserve"> и </w:t>
      </w:r>
      <w:hyperlink w:history="0" w:anchor="P76" w:tooltip="е) электронные копии всех представляемых документов и информации, в том числе в виде файлов на оптическом носителе (CD/DVD) или флэш-накопителе USB при направлении обращения в бумажном виде;">
        <w:r>
          <w:rPr>
            <w:sz w:val="24"/>
            <w:color w:val="0000ff"/>
          </w:rPr>
          <w:t xml:space="preserve">"е" пункта 1</w:t>
        </w:r>
      </w:hyperlink>
      <w:r>
        <w:rPr>
          <w:sz w:val="24"/>
        </w:rPr>
        <w:t xml:space="preserve"> настоящего Порядка.</w:t>
      </w:r>
    </w:p>
    <w:p>
      <w:pPr>
        <w:pStyle w:val="0"/>
        <w:spacing w:before="240" w:lineRule="auto"/>
        <w:ind w:firstLine="540"/>
        <w:jc w:val="both"/>
      </w:pPr>
      <w:r>
        <w:rPr>
          <w:sz w:val="24"/>
        </w:rPr>
        <w:t xml:space="preserve">В случаях, предусмотренных </w:t>
      </w:r>
      <w:hyperlink w:history="0" w:anchor="P105" w:tooltip="в случае внесения изменений в договор аренды или иного пользования Объекта, обусловленных преобразованием объектов недвижимости (в том числе разделом объекта недвижимости, объединением объектов недвижимости, перепланировкой помещений, изменением границ между смежными помещениями) или земельных участков (объединением, разделом или перераспределением земельных участков), изменением их характеристик (например, общей площади, вида разрешенного использования объекта недвижимости или земельного участка) после ...">
        <w:r>
          <w:rPr>
            <w:sz w:val="24"/>
            <w:color w:val="0000ff"/>
          </w:rPr>
          <w:t xml:space="preserve">абзацами вторым</w:t>
        </w:r>
      </w:hyperlink>
      <w:r>
        <w:rPr>
          <w:sz w:val="24"/>
        </w:rPr>
        <w:t xml:space="preserve"> и </w:t>
      </w:r>
      <w:hyperlink w:history="0" w:anchor="P106" w:tooltip="в случае продления срока действия заключенного договора аренды или иного пользования Объекта (при отсутствии изменений, касающихся предмета и сторон договора) или заключения нового договора аренды или иного пользования Объекта между теми же сторонами и по тому же предмету после поступления решения Министерства энергетики Российской Федерации о согласовании передачи Объекта в аренду или иное пользование без изменения информации, предусмотренной подпунктами &quot;а&quot; - &quot;г&quot; и &quot;е&quot; пункта 1 настоящего Порядка.">
        <w:r>
          <w:rPr>
            <w:sz w:val="24"/>
            <w:color w:val="0000ff"/>
          </w:rPr>
          <w:t xml:space="preserve">третьим</w:t>
        </w:r>
      </w:hyperlink>
      <w:r>
        <w:rPr>
          <w:sz w:val="24"/>
        </w:rPr>
        <w:t xml:space="preserve"> настоящего пункта, субъект ТЭК в течение 10 рабочих дней со дня внесения изменений в договор аренды или иного пользования Объекта, продления срока такого договора либо заключения нового договора аренды или иного пользования Объекта между теми же сторонами и по тому же предмету направляет в Министерство энергетики Российской Федерации в бумажном виде посредством почтового отправления или в электронном виде посредством электронной почты и (или) иным способом, предусматривающим возможность представления информации в электронном виде, уведомление, содержащее информацию о внесенных в договор аренды или иного пользования Объекта изменениях, о продлении срока действия такого договора либо о заключении нового договора аренды или иного пользования Объекта между теми же сторонами и по тому же предмету (с приложением копии договора).</w:t>
      </w:r>
    </w:p>
    <w:p>
      <w:pPr>
        <w:pStyle w:val="0"/>
        <w:jc w:val="both"/>
      </w:pPr>
      <w:r>
        <w:rPr>
          <w:sz w:val="24"/>
        </w:rPr>
        <w:t xml:space="preserve">(п. 10 в ред. </w:t>
      </w:r>
      <w:hyperlink w:history="0" r:id="rId20" w:tooltip="Приказ Минэнерго России от 13.05.2024 N 460 &quot;О внесении изменений в Порядок согласования передачи субъектами топливно-энергетического комплекса, владеющими на праве собственности или ином законном основании объектами топливно-энергетического комплекса, которым присвоена высокая категория опасности, в аренду или иное пользование зданий, строений, сооружений, их частей, входящих в состав таких объектов топливно-энергетического комплекса, а также земельных участков, на которых размещены указанные объекты топли {КонсультантПлюс}">
        <w:r>
          <w:rPr>
            <w:sz w:val="24"/>
            <w:color w:val="0000ff"/>
          </w:rPr>
          <w:t xml:space="preserve">Приказа</w:t>
        </w:r>
      </w:hyperlink>
      <w:r>
        <w:rPr>
          <w:sz w:val="24"/>
        </w:rPr>
        <w:t xml:space="preserve"> Минэнерго России от 13.05.2024 N 460)</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Приказ Минэнерго России от 09.12.2022 N 1299</w:t>
            <w:br/>
            <w:t>(ред. от 13.05.2024)</w:t>
            <w:br/>
            <w:t>"Об утверждении Порядка согласования передачи субъекта...</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02.03.2026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LAW&amp;n=479208&amp;date=02.03.2026&amp;dst=100006&amp;field=134&amp;demo=2" TargetMode = "External"/><Relationship Id="rId9" Type="http://schemas.openxmlformats.org/officeDocument/2006/relationships/hyperlink" Target="https://login.consultant.ru/link/?req=doc&amp;base=LAW&amp;n=509413&amp;date=02.03.2026&amp;dst=100290&amp;field=134&amp;demo=2" TargetMode = "External"/><Relationship Id="rId10" Type="http://schemas.openxmlformats.org/officeDocument/2006/relationships/hyperlink" Target="https://login.consultant.ru/link/?req=doc&amp;base=LAW&amp;n=527002&amp;date=02.03.2026&amp;dst=87&amp;field=134&amp;demo=2" TargetMode = "External"/><Relationship Id="rId11" Type="http://schemas.openxmlformats.org/officeDocument/2006/relationships/hyperlink" Target="https://login.consultant.ru/link/?req=doc&amp;base=LAW&amp;n=479208&amp;date=02.03.2026&amp;dst=100006&amp;field=134&amp;demo=2" TargetMode = "External"/><Relationship Id="rId12" Type="http://schemas.openxmlformats.org/officeDocument/2006/relationships/hyperlink" Target="https://login.consultant.ru/link/?req=doc&amp;base=LAW&amp;n=509413&amp;date=02.03.2026&amp;dst=100296&amp;field=134&amp;demo=2" TargetMode = "External"/><Relationship Id="rId13" Type="http://schemas.openxmlformats.org/officeDocument/2006/relationships/hyperlink" Target="https://login.consultant.ru/link/?req=doc&amp;base=LAW&amp;n=479208&amp;date=02.03.2026&amp;dst=100012&amp;field=134&amp;demo=2" TargetMode = "External"/><Relationship Id="rId14" Type="http://schemas.openxmlformats.org/officeDocument/2006/relationships/hyperlink" Target="https://login.consultant.ru/link/?req=doc&amp;base=LAW&amp;n=479208&amp;date=02.03.2026&amp;dst=100014&amp;field=134&amp;demo=2" TargetMode = "External"/><Relationship Id="rId15" Type="http://schemas.openxmlformats.org/officeDocument/2006/relationships/hyperlink" Target="https://login.consultant.ru/link/?req=doc&amp;base=LAW&amp;n=479208&amp;date=02.03.2026&amp;dst=100016&amp;field=134&amp;demo=2" TargetMode = "External"/><Relationship Id="rId16" Type="http://schemas.openxmlformats.org/officeDocument/2006/relationships/hyperlink" Target="https://login.consultant.ru/link/?req=doc&amp;base=LAW&amp;n=479208&amp;date=02.03.2026&amp;dst=100017&amp;field=134&amp;demo=2" TargetMode = "External"/><Relationship Id="rId17" Type="http://schemas.openxmlformats.org/officeDocument/2006/relationships/hyperlink" Target="https://login.consultant.ru/link/?req=doc&amp;base=LAW&amp;n=479208&amp;date=02.03.2026&amp;dst=100018&amp;field=134&amp;demo=2" TargetMode = "External"/><Relationship Id="rId18" Type="http://schemas.openxmlformats.org/officeDocument/2006/relationships/hyperlink" Target="https://login.consultant.ru/link/?req=doc&amp;base=LAW&amp;n=479208&amp;date=02.03.2026&amp;dst=100019&amp;field=134&amp;demo=2" TargetMode = "External"/><Relationship Id="rId19" Type="http://schemas.openxmlformats.org/officeDocument/2006/relationships/hyperlink" Target="https://login.consultant.ru/link/?req=doc&amp;base=LAW&amp;n=479208&amp;date=02.03.2026&amp;dst=100020&amp;field=134&amp;demo=2" TargetMode = "External"/><Relationship Id="rId20" Type="http://schemas.openxmlformats.org/officeDocument/2006/relationships/hyperlink" Target="https://login.consultant.ru/link/?req=doc&amp;base=LAW&amp;n=479208&amp;date=02.03.2026&amp;dst=100021&amp;field=134&amp;demo=2" TargetMode = "Externa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Минэнерго России от 09.12.2022 N 1299
(ред. от 13.05.2024)
"Об утверждении Порядка согласования передачи субъектами топливно-энергетического комплекса, владеющими на праве собственности или ином законном основании объектами топливно-энергетического комплекса, которым присвоена высокая категория опасности, в аренду или иное пользование зданий, строений, сооружений, их частей, входящих в состав таких объектов топливно-энергетического комплекса, а также земельных участков, на которых размещены указанные</dc:title>
  <dcterms:created xsi:type="dcterms:W3CDTF">2026-03-02T17:32:50Z</dcterms:created>
</cp:coreProperties>
</file>